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val="0"/>
        <w:autoSpaceDN w:val="0"/>
        <w:bidi w:val="0"/>
        <w:spacing w:line="520" w:lineRule="exact"/>
        <w:jc w:val="center"/>
        <w:textAlignment w:val="auto"/>
        <w:rPr>
          <w:rFonts w:ascii="方正小标宋简体" w:hAnsi="方正小标宋简体" w:eastAsia="方正小标宋简体" w:cs="方正小标宋简体"/>
          <w:sz w:val="44"/>
          <w:szCs w:val="44"/>
          <w:lang w:eastAsia="zh-CN"/>
        </w:rPr>
      </w:pPr>
    </w:p>
    <w:p>
      <w:pPr>
        <w:jc w:val="center"/>
        <w:rPr>
          <w:rFonts w:hint="eastAsia" w:ascii="华文中宋" w:hAnsi="华文中宋" w:eastAsia="华文中宋" w:cs="仿宋"/>
          <w:b/>
          <w:bCs/>
          <w:sz w:val="44"/>
          <w:szCs w:val="44"/>
          <w:lang w:eastAsia="zh-CN"/>
        </w:rPr>
      </w:pPr>
      <w:r>
        <w:rPr>
          <w:rFonts w:hint="eastAsia" w:ascii="华文中宋" w:hAnsi="华文中宋" w:eastAsia="华文中宋" w:cs="仿宋"/>
          <w:b/>
          <w:bCs/>
          <w:sz w:val="44"/>
          <w:szCs w:val="44"/>
          <w:lang w:eastAsia="zh-CN"/>
        </w:rPr>
        <w:t>2022年天津市外商投资企业运动会</w:t>
      </w:r>
    </w:p>
    <w:p>
      <w:pPr>
        <w:jc w:val="center"/>
        <w:rPr>
          <w:rFonts w:hint="eastAsia" w:ascii="华文中宋" w:hAnsi="华文中宋" w:eastAsia="华文中宋" w:cs="仿宋"/>
          <w:b/>
          <w:bCs/>
          <w:sz w:val="44"/>
          <w:szCs w:val="44"/>
        </w:rPr>
      </w:pPr>
      <w:r>
        <w:rPr>
          <w:rFonts w:hint="eastAsia" w:ascii="华文中宋" w:hAnsi="华文中宋" w:eastAsia="华文中宋" w:cs="仿宋"/>
          <w:b/>
          <w:bCs/>
          <w:sz w:val="44"/>
          <w:szCs w:val="44"/>
          <w:lang w:eastAsia="zh-CN"/>
        </w:rPr>
        <w:t>足球项目比赛竞赛规程</w:t>
      </w:r>
    </w:p>
    <w:p>
      <w:pPr>
        <w:keepNext w:val="0"/>
        <w:keepLines w:val="0"/>
        <w:pageBreakBefore w:val="0"/>
        <w:kinsoku/>
        <w:wordWrap/>
        <w:overflowPunct/>
        <w:topLinePunct w:val="0"/>
        <w:autoSpaceDE w:val="0"/>
        <w:autoSpaceDN w:val="0"/>
        <w:bidi w:val="0"/>
        <w:spacing w:line="520" w:lineRule="exact"/>
        <w:textAlignment w:val="auto"/>
        <w:rPr>
          <w:rFonts w:ascii="华文宋体" w:hAnsi="华文宋体" w:eastAsia="华文宋体" w:cs="宋体-PUA"/>
          <w:b/>
          <w:bCs/>
          <w:snapToGrid w:val="0"/>
          <w:sz w:val="44"/>
          <w:szCs w:val="44"/>
        </w:rPr>
      </w:pP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一、</w:t>
      </w:r>
      <w:r>
        <w:rPr>
          <w:rFonts w:hint="eastAsia" w:ascii="黑体" w:hAnsi="黑体" w:eastAsia="黑体" w:cs="黑体"/>
          <w:b w:val="0"/>
          <w:bCs w:val="0"/>
          <w:sz w:val="32"/>
          <w:szCs w:val="32"/>
          <w:lang w:eastAsia="zh-CN"/>
        </w:rPr>
        <w:t>主办单位</w:t>
      </w: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天津市体育局 天津市商务局</w:t>
      </w: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二、</w:t>
      </w:r>
      <w:r>
        <w:rPr>
          <w:rFonts w:hint="eastAsia" w:ascii="黑体" w:hAnsi="黑体" w:eastAsia="黑体" w:cs="黑体"/>
          <w:b w:val="0"/>
          <w:bCs w:val="0"/>
          <w:sz w:val="32"/>
          <w:szCs w:val="32"/>
          <w:lang w:eastAsia="zh-CN"/>
        </w:rPr>
        <w:t>承办单位</w:t>
      </w: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天津市外商投资企业协会</w:t>
      </w:r>
    </w:p>
    <w:p>
      <w:pPr>
        <w:keepNext w:val="0"/>
        <w:keepLines w:val="0"/>
        <w:pageBreakBefore w:val="0"/>
        <w:kinsoku/>
        <w:wordWrap/>
        <w:overflowPunct/>
        <w:topLinePunct w:val="0"/>
        <w:autoSpaceDE w:val="0"/>
        <w:autoSpaceDN w:val="0"/>
        <w:bidi w:val="0"/>
        <w:spacing w:line="520" w:lineRule="exact"/>
        <w:ind w:firstLine="800" w:firstLineChars="25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天津天奥体育产业有限公司</w:t>
      </w: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三、</w:t>
      </w:r>
      <w:r>
        <w:rPr>
          <w:rFonts w:hint="eastAsia" w:ascii="黑体" w:hAnsi="黑体" w:eastAsia="黑体" w:cs="黑体"/>
          <w:b w:val="0"/>
          <w:bCs w:val="0"/>
          <w:sz w:val="32"/>
          <w:szCs w:val="32"/>
          <w:lang w:eastAsia="zh-CN"/>
        </w:rPr>
        <w:t>协办单位</w:t>
      </w: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天津市足球运动协会</w:t>
      </w: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四、</w:t>
      </w:r>
      <w:r>
        <w:rPr>
          <w:rFonts w:hint="eastAsia" w:ascii="黑体" w:hAnsi="黑体" w:eastAsia="黑体" w:cs="黑体"/>
          <w:b w:val="0"/>
          <w:bCs w:val="0"/>
          <w:sz w:val="32"/>
          <w:szCs w:val="32"/>
          <w:lang w:eastAsia="zh-CN"/>
        </w:rPr>
        <w:t>竞赛时间和地点：</w:t>
      </w:r>
    </w:p>
    <w:p>
      <w:pPr>
        <w:keepNext w:val="0"/>
        <w:keepLines w:val="0"/>
        <w:pageBreakBefore w:val="0"/>
        <w:kinsoku/>
        <w:wordWrap/>
        <w:overflowPunct/>
        <w:topLinePunct w:val="0"/>
        <w:autoSpaceDE w:val="0"/>
        <w:autoSpaceDN w:val="0"/>
        <w:bidi w:val="0"/>
        <w:spacing w:line="520" w:lineRule="exact"/>
        <w:ind w:firstLine="800" w:firstLineChars="25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eastAsia="zh-CN"/>
        </w:rPr>
        <w:t>时间：</w:t>
      </w:r>
      <w:r>
        <w:rPr>
          <w:rFonts w:hint="eastAsia" w:ascii="仿宋_GB2312" w:hAnsi="仿宋_GB2312" w:eastAsia="仿宋_GB2312" w:cs="仿宋_GB2312"/>
          <w:color w:val="auto"/>
          <w:sz w:val="32"/>
          <w:szCs w:val="32"/>
          <w:lang w:val="en-US" w:eastAsia="zh-CN"/>
        </w:rPr>
        <w:t>2022年10月-11月（暂定，</w:t>
      </w:r>
      <w:r>
        <w:rPr>
          <w:rFonts w:hint="eastAsia" w:ascii="仿宋" w:hAnsi="仿宋" w:eastAsia="仿宋" w:cs="仿宋"/>
          <w:sz w:val="32"/>
          <w:szCs w:val="32"/>
          <w:lang w:val="en-US" w:eastAsia="zh-CN"/>
        </w:rPr>
        <w:t>以补充通知为准</w:t>
      </w:r>
      <w:r>
        <w:rPr>
          <w:rFonts w:hint="eastAsia" w:ascii="仿宋_GB2312" w:hAnsi="仿宋_GB2312" w:eastAsia="仿宋_GB2312" w:cs="仿宋_GB2312"/>
          <w:color w:val="auto"/>
          <w:sz w:val="32"/>
          <w:szCs w:val="32"/>
          <w:lang w:val="en-US" w:eastAsia="zh-CN"/>
        </w:rPr>
        <w:t>）</w:t>
      </w:r>
    </w:p>
    <w:p>
      <w:pPr>
        <w:keepNext w:val="0"/>
        <w:keepLines w:val="0"/>
        <w:pageBreakBefore w:val="0"/>
        <w:kinsoku/>
        <w:wordWrap/>
        <w:overflowPunct/>
        <w:topLinePunct w:val="0"/>
        <w:autoSpaceDE w:val="0"/>
        <w:autoSpaceDN w:val="0"/>
        <w:bidi w:val="0"/>
        <w:spacing w:line="520" w:lineRule="exact"/>
        <w:ind w:firstLine="800" w:firstLineChars="250"/>
        <w:jc w:val="both"/>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地点：天津市奥林匹克中心（</w:t>
      </w:r>
      <w:bookmarkStart w:id="0" w:name="_GoBack"/>
      <w:bookmarkEnd w:id="0"/>
      <w:r>
        <w:rPr>
          <w:rFonts w:hint="eastAsia" w:ascii="仿宋_GB2312" w:hAnsi="仿宋_GB2312" w:eastAsia="仿宋_GB2312" w:cs="仿宋_GB2312"/>
          <w:b w:val="0"/>
          <w:bCs w:val="0"/>
          <w:sz w:val="32"/>
          <w:szCs w:val="32"/>
          <w:highlight w:val="none"/>
          <w:lang w:val="en-US" w:eastAsia="zh-CN"/>
        </w:rPr>
        <w:t>暂定，</w:t>
      </w:r>
      <w:r>
        <w:rPr>
          <w:rFonts w:hint="eastAsia" w:ascii="仿宋" w:hAnsi="仿宋" w:eastAsia="仿宋" w:cs="仿宋"/>
          <w:sz w:val="32"/>
          <w:szCs w:val="32"/>
          <w:lang w:val="en-US" w:eastAsia="zh-CN"/>
        </w:rPr>
        <w:t>以补充通知为准</w:t>
      </w:r>
      <w:r>
        <w:rPr>
          <w:rFonts w:hint="eastAsia" w:ascii="仿宋_GB2312" w:hAnsi="仿宋_GB2312" w:eastAsia="仿宋_GB2312" w:cs="仿宋_GB2312"/>
          <w:b w:val="0"/>
          <w:bCs w:val="0"/>
          <w:sz w:val="32"/>
          <w:szCs w:val="32"/>
          <w:highlight w:val="none"/>
          <w:lang w:eastAsia="zh-CN"/>
        </w:rPr>
        <w:t>）</w:t>
      </w: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五、</w:t>
      </w:r>
      <w:r>
        <w:rPr>
          <w:rFonts w:hint="eastAsia" w:ascii="黑体" w:hAnsi="黑体" w:eastAsia="黑体" w:cs="黑体"/>
          <w:b w:val="0"/>
          <w:bCs w:val="0"/>
          <w:sz w:val="32"/>
          <w:szCs w:val="32"/>
          <w:lang w:eastAsia="zh-CN"/>
        </w:rPr>
        <w:t>参赛单位</w:t>
      </w:r>
    </w:p>
    <w:p>
      <w:pPr>
        <w:keepNext w:val="0"/>
        <w:keepLines w:val="0"/>
        <w:pageBreakBefore w:val="0"/>
        <w:kinsoku/>
        <w:wordWrap/>
        <w:overflowPunct/>
        <w:topLinePunct w:val="0"/>
        <w:autoSpaceDE w:val="0"/>
        <w:autoSpaceDN w:val="0"/>
        <w:bidi w:val="0"/>
        <w:spacing w:line="520" w:lineRule="exact"/>
        <w:ind w:left="284" w:firstLine="320" w:firstLineChars="1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w:t>
      </w:r>
      <w:r>
        <w:rPr>
          <w:rFonts w:hint="eastAsia" w:ascii="仿宋" w:hAnsi="仿宋" w:eastAsia="仿宋" w:cs="仿宋"/>
          <w:b w:val="0"/>
          <w:bCs/>
          <w:snapToGrid w:val="0"/>
          <w:spacing w:val="0"/>
          <w:kern w:val="0"/>
          <w:sz w:val="32"/>
          <w:szCs w:val="32"/>
          <w:lang w:val="en-US" w:eastAsia="zh-Hans"/>
        </w:rPr>
        <w:t>天津市外商投资企业</w:t>
      </w:r>
      <w:r>
        <w:rPr>
          <w:rFonts w:hint="eastAsia" w:ascii="仿宋" w:hAnsi="仿宋" w:eastAsia="仿宋" w:cs="仿宋"/>
          <w:b w:val="0"/>
          <w:bCs/>
          <w:snapToGrid w:val="0"/>
          <w:spacing w:val="0"/>
          <w:kern w:val="0"/>
          <w:sz w:val="32"/>
          <w:szCs w:val="32"/>
          <w:lang w:val="en-US" w:eastAsia="zh-CN"/>
        </w:rPr>
        <w:t>均可组团参赛</w:t>
      </w:r>
      <w:r>
        <w:rPr>
          <w:rFonts w:hint="eastAsia" w:ascii="仿宋_GB2312" w:hAnsi="仿宋_GB2312" w:eastAsia="仿宋_GB2312" w:cs="仿宋_GB2312"/>
          <w:b w:val="0"/>
          <w:bCs w:val="0"/>
          <w:sz w:val="32"/>
          <w:szCs w:val="32"/>
          <w:lang w:eastAsia="zh-CN"/>
        </w:rPr>
        <w:t>。</w:t>
      </w:r>
    </w:p>
    <w:p>
      <w:pPr>
        <w:keepNext w:val="0"/>
        <w:keepLines w:val="0"/>
        <w:pageBreakBefore w:val="0"/>
        <w:kinsoku/>
        <w:wordWrap/>
        <w:overflowPunct/>
        <w:topLinePunct w:val="0"/>
        <w:autoSpaceDE w:val="0"/>
        <w:autoSpaceDN w:val="0"/>
        <w:bidi w:val="0"/>
        <w:spacing w:line="520" w:lineRule="exact"/>
        <w:ind w:left="284" w:firstLine="320" w:firstLineChars="1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（二）各参赛单位在比赛中只能选派一支代表队参加。</w:t>
      </w: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六、</w:t>
      </w:r>
      <w:r>
        <w:rPr>
          <w:rFonts w:hint="eastAsia" w:ascii="黑体" w:hAnsi="黑体" w:eastAsia="黑体" w:cs="黑体"/>
          <w:b w:val="0"/>
          <w:bCs w:val="0"/>
          <w:sz w:val="32"/>
          <w:szCs w:val="32"/>
          <w:lang w:eastAsia="zh-CN"/>
        </w:rPr>
        <w:t>参赛资格</w:t>
      </w:r>
    </w:p>
    <w:p>
      <w:pPr>
        <w:keepNext w:val="0"/>
        <w:keepLines w:val="0"/>
        <w:pageBreakBefore w:val="0"/>
        <w:kinsoku/>
        <w:wordWrap/>
        <w:overflowPunct/>
        <w:topLinePunct w:val="0"/>
        <w:autoSpaceDE w:val="0"/>
        <w:autoSpaceDN w:val="0"/>
        <w:bidi w:val="0"/>
        <w:spacing w:line="52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（一）天津市外商投资企业员工，年龄在1</w:t>
      </w:r>
      <w:r>
        <w:rPr>
          <w:rFonts w:hint="eastAsia" w:ascii="仿宋_GB2312" w:hAnsi="仿宋_GB2312" w:eastAsia="仿宋_GB2312" w:cs="仿宋_GB2312"/>
          <w:b w:val="0"/>
          <w:bCs w:val="0"/>
          <w:sz w:val="32"/>
          <w:szCs w:val="32"/>
          <w:lang w:val="en-US" w:eastAsia="zh-CN"/>
        </w:rPr>
        <w:t>9</w:t>
      </w:r>
      <w:r>
        <w:rPr>
          <w:rFonts w:hint="eastAsia" w:ascii="仿宋_GB2312" w:hAnsi="仿宋_GB2312" w:eastAsia="仿宋_GB2312" w:cs="仿宋_GB2312"/>
          <w:b w:val="0"/>
          <w:bCs w:val="0"/>
          <w:sz w:val="32"/>
          <w:szCs w:val="32"/>
          <w:lang w:eastAsia="zh-CN"/>
        </w:rPr>
        <w:t>周岁以上，60周岁以下。</w:t>
      </w:r>
    </w:p>
    <w:p>
      <w:pPr>
        <w:keepNext w:val="0"/>
        <w:keepLines w:val="0"/>
        <w:pageBreakBefore w:val="0"/>
        <w:kinsoku/>
        <w:wordWrap/>
        <w:overflowPunct/>
        <w:topLinePunct w:val="0"/>
        <w:autoSpaceDE w:val="0"/>
        <w:autoSpaceDN w:val="0"/>
        <w:bidi w:val="0"/>
        <w:spacing w:line="52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（二）身体健康，具有参加项目应具备的身体条件及运动能力，持二级甲等以上医院体检证明。</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 w:hAnsi="仿宋" w:eastAsia="仿宋" w:cs="仿宋"/>
          <w:b w:val="0"/>
          <w:bCs/>
          <w:snapToGrid w:val="0"/>
          <w:spacing w:val="0"/>
          <w:kern w:val="0"/>
          <w:sz w:val="32"/>
          <w:szCs w:val="32"/>
          <w:shd w:val="clear" w:color="auto" w:fill="FFFFFF"/>
          <w:lang w:val="en-US" w:eastAsia="zh-CN"/>
        </w:rPr>
      </w:pPr>
      <w:r>
        <w:rPr>
          <w:rFonts w:hint="eastAsia" w:ascii="仿宋_GB2312" w:hAnsi="仿宋_GB2312" w:eastAsia="仿宋_GB2312" w:cs="仿宋_GB2312"/>
          <w:b w:val="0"/>
          <w:bCs w:val="0"/>
          <w:sz w:val="32"/>
          <w:szCs w:val="32"/>
          <w:lang w:eastAsia="zh-CN"/>
        </w:rPr>
        <w:t>（三）</w:t>
      </w:r>
      <w:r>
        <w:rPr>
          <w:rFonts w:hint="eastAsia" w:ascii="仿宋" w:hAnsi="仿宋" w:eastAsia="仿宋" w:cs="仿宋"/>
          <w:b w:val="0"/>
          <w:bCs/>
          <w:snapToGrid w:val="0"/>
          <w:spacing w:val="0"/>
          <w:kern w:val="0"/>
          <w:sz w:val="32"/>
          <w:szCs w:val="32"/>
          <w:shd w:val="clear" w:color="auto" w:fill="FFFFFF"/>
          <w:lang w:val="en-US" w:eastAsia="zh-CN"/>
        </w:rPr>
        <w:t>参赛人员应为天津市外商投资企业员工，有所代表单位的劳动合同（含劳务派遣合同）；</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（四）参赛人员须办理比赛期间的人身意外伤害保险</w:t>
      </w:r>
      <w:r>
        <w:rPr>
          <w:rFonts w:hint="eastAsia" w:ascii="仿宋_GB2312" w:hAnsi="仿宋_GB2312" w:eastAsia="仿宋_GB2312" w:cs="仿宋_GB2312"/>
          <w:b w:val="0"/>
          <w:bCs w:val="0"/>
          <w:sz w:val="32"/>
          <w:szCs w:val="32"/>
          <w:lang w:eastAsia="zh-Hans"/>
        </w:rPr>
        <w:t>；</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Hans"/>
        </w:rPr>
        <w:t>（</w:t>
      </w:r>
      <w:r>
        <w:rPr>
          <w:rFonts w:hint="eastAsia" w:ascii="仿宋_GB2312" w:hAnsi="仿宋_GB2312" w:eastAsia="仿宋_GB2312" w:cs="仿宋_GB2312"/>
          <w:b w:val="0"/>
          <w:bCs w:val="0"/>
          <w:sz w:val="32"/>
          <w:szCs w:val="32"/>
          <w:lang w:val="en-US" w:eastAsia="zh-Hans"/>
        </w:rPr>
        <w:t>五</w:t>
      </w:r>
      <w:r>
        <w:rPr>
          <w:rFonts w:hint="eastAsia" w:ascii="仿宋_GB2312" w:hAnsi="仿宋_GB2312" w:eastAsia="仿宋_GB2312" w:cs="仿宋_GB2312"/>
          <w:b w:val="0"/>
          <w:bCs w:val="0"/>
          <w:sz w:val="32"/>
          <w:szCs w:val="32"/>
          <w:lang w:eastAsia="zh-Hans"/>
        </w:rPr>
        <w:t>）</w:t>
      </w:r>
      <w:r>
        <w:rPr>
          <w:rFonts w:hint="eastAsia" w:ascii="仿宋_GB2312" w:hAnsi="仿宋_GB2312" w:eastAsia="仿宋_GB2312" w:cs="仿宋_GB2312"/>
          <w:b w:val="0"/>
          <w:bCs w:val="0"/>
          <w:sz w:val="32"/>
          <w:szCs w:val="32"/>
          <w:lang w:eastAsia="zh-CN"/>
        </w:rPr>
        <w:t>每名运动员只可代表1支运动队参加比赛。</w:t>
      </w:r>
    </w:p>
    <w:p>
      <w:pPr>
        <w:keepNext w:val="0"/>
        <w:keepLines w:val="0"/>
        <w:pageBreakBefore w:val="0"/>
        <w:numPr>
          <w:ilvl w:val="0"/>
          <w:numId w:val="0"/>
        </w:numPr>
        <w:kinsoku/>
        <w:wordWrap/>
        <w:overflowPunct/>
        <w:topLinePunct w:val="0"/>
        <w:autoSpaceDE w:val="0"/>
        <w:autoSpaceDN w:val="0"/>
        <w:bidi w:val="0"/>
        <w:spacing w:line="52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七、</w:t>
      </w:r>
      <w:r>
        <w:rPr>
          <w:rFonts w:hint="eastAsia" w:ascii="黑体" w:hAnsi="黑体" w:eastAsia="黑体" w:cs="黑体"/>
          <w:b w:val="0"/>
          <w:bCs w:val="0"/>
          <w:sz w:val="32"/>
          <w:szCs w:val="32"/>
          <w:lang w:eastAsia="zh-CN"/>
        </w:rPr>
        <w:t>竞赛项目与比赛赛制</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highlight w:val="none"/>
          <w:lang w:eastAsia="zh-CN"/>
        </w:rPr>
        <w:t xml:space="preserve">比赛为男子九人制足球比赛。 </w:t>
      </w:r>
    </w:p>
    <w:p>
      <w:pPr>
        <w:keepNext w:val="0"/>
        <w:keepLines w:val="0"/>
        <w:pageBreakBefore w:val="0"/>
        <w:kinsoku/>
        <w:wordWrap/>
        <w:overflowPunct/>
        <w:topLinePunct w:val="0"/>
        <w:autoSpaceDE w:val="0"/>
        <w:autoSpaceDN w:val="0"/>
        <w:bidi w:val="0"/>
        <w:spacing w:line="52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1.如参赛单位不足8支球队，比赛采用单循环赛制排列各队名次；</w:t>
      </w:r>
    </w:p>
    <w:p>
      <w:pPr>
        <w:keepNext w:val="0"/>
        <w:keepLines w:val="0"/>
        <w:pageBreakBefore w:val="0"/>
        <w:kinsoku/>
        <w:wordWrap/>
        <w:overflowPunct/>
        <w:topLinePunct w:val="0"/>
        <w:autoSpaceDE w:val="0"/>
        <w:autoSpaceDN w:val="0"/>
        <w:bidi w:val="0"/>
        <w:spacing w:line="520" w:lineRule="exact"/>
        <w:ind w:firstLine="640" w:firstLineChars="200"/>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2.如参赛单位是8支或多于8支但不足32支（包含32支），比赛将分为二个阶段进行。第一阶段为小组循环比赛，按积分排列小组名次；第二阶段为交叉淘汰赛，决出各冠军及三四名。</w:t>
      </w:r>
    </w:p>
    <w:p>
      <w:pPr>
        <w:keepNext w:val="0"/>
        <w:keepLines w:val="0"/>
        <w:pageBreakBefore w:val="0"/>
        <w:kinsoku/>
        <w:wordWrap/>
        <w:overflowPunct/>
        <w:topLinePunct w:val="0"/>
        <w:autoSpaceDE w:val="0"/>
        <w:autoSpaceDN w:val="0"/>
        <w:bidi w:val="0"/>
        <w:spacing w:line="520" w:lineRule="exact"/>
        <w:ind w:firstLine="640" w:firstLineChars="200"/>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3.如参赛队伍大于32支，则比赛分为三个阶段进行。第一阶段为预赛阶段，依据报名球队数量确定预赛赛制；第二阶段为小组循环比赛阶段，按积分排列小组名次；第三阶段为交叉淘汰阶段，决出各冠军及三四名。</w:t>
      </w:r>
    </w:p>
    <w:p>
      <w:pPr>
        <w:keepNext w:val="0"/>
        <w:keepLines w:val="0"/>
        <w:pageBreakBefore w:val="0"/>
        <w:numPr>
          <w:ilvl w:val="0"/>
          <w:numId w:val="0"/>
        </w:numPr>
        <w:kinsoku/>
        <w:wordWrap/>
        <w:overflowPunct/>
        <w:topLinePunct w:val="0"/>
        <w:autoSpaceDE w:val="0"/>
        <w:autoSpaceDN w:val="0"/>
        <w:bidi w:val="0"/>
        <w:spacing w:line="52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八、</w:t>
      </w:r>
      <w:r>
        <w:rPr>
          <w:rFonts w:hint="eastAsia" w:ascii="黑体" w:hAnsi="黑体" w:eastAsia="黑体" w:cs="黑体"/>
          <w:b w:val="0"/>
          <w:bCs w:val="0"/>
          <w:sz w:val="32"/>
          <w:szCs w:val="32"/>
          <w:lang w:eastAsia="zh-CN"/>
        </w:rPr>
        <w:t>报名和报到</w:t>
      </w:r>
    </w:p>
    <w:p>
      <w:pPr>
        <w:keepNext w:val="0"/>
        <w:keepLines w:val="0"/>
        <w:pageBreakBefore w:val="0"/>
        <w:kinsoku/>
        <w:wordWrap/>
        <w:overflowPunct/>
        <w:topLinePunct w:val="0"/>
        <w:autoSpaceDE w:val="0"/>
        <w:autoSpaceDN w:val="0"/>
        <w:bidi w:val="0"/>
        <w:adjustRightInd w:val="0"/>
        <w:spacing w:line="520" w:lineRule="exact"/>
        <w:ind w:firstLine="640" w:firstLineChars="200"/>
        <w:contextualSpacing/>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（一）报名要求：每个企业限报1支代表队，每队限报运动员20名，领队1名，教练2名，有外籍人员参赛的可报翻译人员1名。</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（二）报名方式与时间：</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1.各参赛单位报名时，须核准参赛运动员</w:t>
      </w:r>
      <w:r>
        <w:rPr>
          <w:rFonts w:hint="eastAsia" w:ascii="仿宋_GB2312" w:hAnsi="仿宋_GB2312" w:eastAsia="仿宋_GB2312" w:cs="仿宋_GB2312"/>
          <w:b w:val="0"/>
          <w:bCs w:val="0"/>
          <w:sz w:val="32"/>
          <w:szCs w:val="32"/>
          <w:lang w:val="en-US" w:eastAsia="zh-Hans"/>
        </w:rPr>
        <w:t>有效证件</w:t>
      </w:r>
      <w:r>
        <w:rPr>
          <w:rFonts w:hint="eastAsia" w:ascii="仿宋_GB2312" w:hAnsi="仿宋_GB2312" w:eastAsia="仿宋_GB2312" w:cs="仿宋_GB2312"/>
          <w:b w:val="0"/>
          <w:bCs w:val="0"/>
          <w:sz w:val="32"/>
          <w:szCs w:val="32"/>
          <w:lang w:eastAsia="zh-CN"/>
        </w:rPr>
        <w:t>、在职证明原件，将核准后信息填写至报名表。</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2.报名表须填写球队全名称，如有简称或别称须同时注明。</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3.运动员报名表必须按参赛号码由1号至99号中选择，必须与报名表一致，号码与报名单不符、无号、重号、“0”号一律不得上场参赛。</w:t>
      </w:r>
    </w:p>
    <w:p>
      <w:pPr>
        <w:keepNext w:val="0"/>
        <w:keepLines w:val="0"/>
        <w:pageBreakBefore w:val="0"/>
        <w:kinsoku/>
        <w:wordWrap/>
        <w:overflowPunct/>
        <w:topLinePunct w:val="0"/>
        <w:autoSpaceDE w:val="0"/>
        <w:autoSpaceDN w:val="0"/>
        <w:bidi w:val="0"/>
        <w:snapToGrid w:val="0"/>
        <w:spacing w:line="520" w:lineRule="exact"/>
        <w:ind w:firstLine="640" w:firstLineChars="200"/>
        <w:jc w:val="both"/>
        <w:textAlignment w:val="auto"/>
        <w:rPr>
          <w:rFonts w:hint="eastAsia" w:ascii="仿宋_GB2312" w:hAnsi="仿宋_GB2312" w:eastAsia="仿宋_GB2312" w:cs="仿宋_GB2312"/>
          <w:b w:val="0"/>
          <w:bCs w:val="0"/>
          <w:snapToGrid w:val="0"/>
          <w:sz w:val="32"/>
          <w:szCs w:val="32"/>
          <w:shd w:val="clear" w:color="auto" w:fill="FFFFFF"/>
          <w:lang w:val="en-US" w:eastAsia="zh-CN"/>
        </w:rPr>
      </w:pPr>
      <w:r>
        <w:rPr>
          <w:rFonts w:hint="eastAsia" w:ascii="仿宋_GB2312" w:hAnsi="仿宋_GB2312" w:eastAsia="仿宋_GB2312" w:cs="仿宋_GB2312"/>
          <w:b w:val="0"/>
          <w:bCs w:val="0"/>
          <w:sz w:val="32"/>
          <w:szCs w:val="32"/>
          <w:lang w:eastAsia="zh-CN"/>
        </w:rPr>
        <w:t>4.报名方式</w:t>
      </w:r>
      <w:r>
        <w:rPr>
          <w:rFonts w:hint="eastAsia" w:ascii="仿宋_GB2312" w:hAnsi="仿宋_GB2312" w:eastAsia="仿宋_GB2312" w:cs="仿宋_GB2312"/>
          <w:b w:val="0"/>
          <w:bCs w:val="0"/>
          <w:sz w:val="32"/>
          <w:szCs w:val="32"/>
          <w:lang w:val="en-US" w:eastAsia="zh-CN"/>
        </w:rPr>
        <w:t>和时间</w:t>
      </w:r>
    </w:p>
    <w:p>
      <w:pPr>
        <w:keepNext w:val="0"/>
        <w:keepLines w:val="0"/>
        <w:pageBreakBefore w:val="0"/>
        <w:widowControl w:val="0"/>
        <w:kinsoku/>
        <w:wordWrap/>
        <w:overflowPunct/>
        <w:topLinePunct w:val="0"/>
        <w:autoSpaceDE/>
        <w:autoSpaceDN/>
        <w:bidi w:val="0"/>
        <w:adjustRightInd/>
        <w:snapToGrid/>
        <w:spacing w:line="640" w:lineRule="exact"/>
        <w:ind w:firstLine="320" w:firstLineChars="1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color w:val="auto"/>
          <w:sz w:val="32"/>
          <w:szCs w:val="32"/>
          <w:lang w:val="en-US" w:eastAsia="zh-CN"/>
        </w:rPr>
        <w:t>报名方式：参照《2022年天津市外商投资企业运动会竞赛规程总则》中的“七、报名办法”进行报名。</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15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color w:val="auto"/>
          <w:sz w:val="32"/>
          <w:szCs w:val="32"/>
          <w:lang w:val="en-US" w:eastAsia="zh-CN"/>
        </w:rPr>
        <w:t>（2）报名</w:t>
      </w:r>
      <w:r>
        <w:rPr>
          <w:rFonts w:hint="eastAsia" w:ascii="仿宋_GB2312" w:hAnsi="仿宋_GB2312" w:eastAsia="仿宋_GB2312" w:cs="仿宋_GB2312"/>
          <w:b w:val="0"/>
          <w:bCs w:val="0"/>
          <w:snapToGrid w:val="0"/>
          <w:sz w:val="32"/>
          <w:szCs w:val="32"/>
          <w:shd w:val="clear" w:color="auto" w:fill="FFFFFF"/>
          <w:lang w:eastAsia="zh-CN"/>
        </w:rPr>
        <w:t>联系人：</w:t>
      </w:r>
      <w:r>
        <w:rPr>
          <w:rFonts w:hint="eastAsia" w:ascii="仿宋_GB2312" w:hAnsi="仿宋_GB2312" w:eastAsia="仿宋_GB2312" w:cs="仿宋_GB2312"/>
          <w:b w:val="0"/>
          <w:bCs w:val="0"/>
          <w:snapToGrid w:val="0"/>
          <w:sz w:val="32"/>
          <w:szCs w:val="32"/>
          <w:shd w:val="clear" w:color="auto" w:fill="FFFFFF"/>
          <w:lang w:val="en-US" w:eastAsia="zh-CN"/>
        </w:rPr>
        <w:t>芦丽颖（电话，022-23307587、 15320072006；</w:t>
      </w:r>
      <w:r>
        <w:rPr>
          <w:rFonts w:hint="eastAsia" w:ascii="仿宋_GB2312" w:hAnsi="仿宋_GB2312" w:eastAsia="仿宋_GB2312" w:cs="仿宋_GB2312"/>
          <w:b w:val="0"/>
          <w:bCs w:val="0"/>
          <w:snapToGrid w:val="0"/>
          <w:sz w:val="32"/>
          <w:szCs w:val="32"/>
          <w:shd w:val="clear" w:color="auto" w:fill="FFFFFF"/>
          <w:lang w:eastAsia="zh-CN"/>
        </w:rPr>
        <w:t>邮箱：jzxjingsaibu@163.com）</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.领队会：裁判长及各参赛单位领队、教练员必须参加，时间地点另行通知。各参赛单位在领队会时，须交验运动员“人身意外伤害保险”证明（覆盖比赛期间）、体检证明、在职证明原件，否则不予参赛。</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lang w:eastAsia="zh-CN"/>
        </w:rPr>
        <w:t>.参赛时，各参赛单位须携带运动员本人</w:t>
      </w:r>
      <w:r>
        <w:rPr>
          <w:rFonts w:hint="eastAsia" w:ascii="仿宋_GB2312" w:hAnsi="仿宋_GB2312" w:eastAsia="仿宋_GB2312" w:cs="仿宋_GB2312"/>
          <w:b w:val="0"/>
          <w:bCs w:val="0"/>
          <w:sz w:val="32"/>
          <w:szCs w:val="32"/>
          <w:lang w:val="en-US" w:eastAsia="zh-Hans"/>
        </w:rPr>
        <w:t>有效证件</w:t>
      </w:r>
      <w:r>
        <w:rPr>
          <w:rFonts w:hint="eastAsia" w:ascii="仿宋_GB2312" w:hAnsi="仿宋_GB2312" w:eastAsia="仿宋_GB2312" w:cs="仿宋_GB2312"/>
          <w:b w:val="0"/>
          <w:bCs w:val="0"/>
          <w:sz w:val="32"/>
          <w:szCs w:val="32"/>
          <w:lang w:eastAsia="zh-CN"/>
        </w:rPr>
        <w:t>原件向大会报到，迟于规定时间确认或未带齐证件者不允许参赛。</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lang w:eastAsia="zh-CN"/>
        </w:rPr>
        <w:t>.各参赛单位须准备并留存报名参赛运动员工资、社保等证明材料，作为运动员资格审核的备查资料，资料不全者取消比赛资格。</w:t>
      </w:r>
    </w:p>
    <w:p>
      <w:pPr>
        <w:keepNext w:val="0"/>
        <w:keepLines w:val="0"/>
        <w:pageBreakBefore w:val="0"/>
        <w:numPr>
          <w:ilvl w:val="0"/>
          <w:numId w:val="0"/>
        </w:numPr>
        <w:kinsoku/>
        <w:wordWrap/>
        <w:overflowPunct/>
        <w:topLinePunct w:val="0"/>
        <w:autoSpaceDE w:val="0"/>
        <w:autoSpaceDN w:val="0"/>
        <w:bidi w:val="0"/>
        <w:spacing w:line="52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九、</w:t>
      </w:r>
      <w:r>
        <w:rPr>
          <w:rFonts w:hint="eastAsia" w:ascii="黑体" w:hAnsi="黑体" w:eastAsia="黑体" w:cs="黑体"/>
          <w:b w:val="0"/>
          <w:bCs w:val="0"/>
          <w:sz w:val="32"/>
          <w:szCs w:val="32"/>
          <w:lang w:eastAsia="zh-CN"/>
        </w:rPr>
        <w:t>竞赛办法</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（一）基本办法</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1.执行国际足联最新审定的《足球竞赛规则》。</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2.比赛采用九人制。</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3.比赛不允许铲球；比赛不设越位限制；淘汰赛在规定时间内双方战成平局则直接进行点球决胜。</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4.比赛用球及时间：比赛为5号标准用球。每场比赛80分钟，上下半场各40分钟，中间休息不超过15分钟，如天气炎热可在比赛进行到25分钟时由裁判员引导进行补水，上下半场均可各补水一次。</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5.上场运动员的要求：</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（1）每场比赛开赛前45分钟，各队教练员必须提交上场的9名队员和7名替补队员名单；</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w:t>
      </w:r>
      <w:r>
        <w:rPr>
          <w:rFonts w:hint="eastAsia" w:ascii="仿宋_GB2312" w:hAnsi="仿宋_GB2312" w:eastAsia="仿宋_GB2312" w:cs="仿宋_GB2312"/>
          <w:b w:val="0"/>
          <w:bCs w:val="0"/>
          <w:sz w:val="32"/>
          <w:szCs w:val="32"/>
          <w:highlight w:val="none"/>
          <w:lang w:eastAsia="zh-CN"/>
        </w:rPr>
        <w:t>每队9名上场队员，换人数量不做限制，但被换下球员不得再次上场。其中守门员与场上球员互换位置必须通知主裁判，同时要求更换运动服（守门员服、比赛服）但号码不能换，与原位置所穿号码一致。</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（二）记分和决定名次办法</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 xml:space="preserve">       1．若比赛双方常规时间内打平将直接进入点球决胜（5＋1），不设立加时赛。</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 xml:space="preserve">       2．每队胜一场得3分，负一场得0分，若比赛双方进入点球决胜则胜者得2分，负者得0分。点球决胜进球数不计入总进球数。</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 xml:space="preserve">       3．如果2队或2队以上积分相等，则依据下列条件排列名次：</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（1）积分相等队之间相互比赛积分多者，名次列前；</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（2）积分相等队之间相互比赛净胜球数多者，名次列前；</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（3）积分相等队之间相互比赛进球数多者，名次列前；</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（4）积分相等队在同一阶段比赛中总净胜球数多者，名次列前；</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（5）积分相等队在同一阶段比赛中总进球数多者，名次列前；</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（6）积分相等队在同一阶段比赛中获得红牌总数少者，名次列前；</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val="en-US" w:eastAsia="zh-CN" w:bidi="ar-SA"/>
        </w:rPr>
      </w:pPr>
      <w:r>
        <w:rPr>
          <w:rFonts w:hint="eastAsia" w:ascii="仿宋_GB2312" w:hAnsi="仿宋_GB2312" w:eastAsia="仿宋_GB2312" w:cs="仿宋_GB2312"/>
          <w:b w:val="0"/>
          <w:bCs w:val="0"/>
          <w:sz w:val="32"/>
          <w:szCs w:val="32"/>
          <w:lang w:val="en-US" w:eastAsia="zh-CN" w:bidi="ar-SA"/>
        </w:rPr>
        <w:t>（7）积分相等队在同一阶段比赛中获得黄牌总数少者，名次列前；</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val="0"/>
        <w:autoSpaceDN w:val="0"/>
        <w:bidi w:val="0"/>
        <w:spacing w:beforeAutospacing="0" w:after="0" w:afterAutospacing="0" w:line="520" w:lineRule="exact"/>
        <w:ind w:left="0" w:right="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bidi="ar-SA"/>
        </w:rPr>
        <w:t>（8）如仍相等，以抽签形式决定名次。</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bidi="ar-SA"/>
        </w:rPr>
        <w:t>4．</w:t>
      </w:r>
      <w:r>
        <w:rPr>
          <w:rFonts w:hint="eastAsia" w:ascii="仿宋_GB2312" w:hAnsi="仿宋_GB2312" w:eastAsia="仿宋_GB2312" w:cs="仿宋_GB2312"/>
          <w:b w:val="0"/>
          <w:bCs w:val="0"/>
          <w:sz w:val="32"/>
          <w:szCs w:val="32"/>
          <w:lang w:eastAsia="zh-CN"/>
        </w:rPr>
        <w:t>交叉淘汰赛阶段每场比赛必须决出胜负，若比赛双方常规时间内打平将直接进入点球决胜（5+1），不设立加时赛。</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（三）替补席</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 xml:space="preserve">1.第四官员席面向场地方向， 其左侧的替补席为主队席位。 </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2.比赛期间被裁判罚离替补席的运动员及官员将自动停止下一场比赛并自赛前2小时至赛后1小时禁止进入竞赛区域、内场区域。足球项目纪律委员会另可根据其具体行为依据相关准则进行追加处罚。</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（四）黄牌、红牌</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1.运动员在比赛中被裁判员出示红牌，或在本届所有比赛中累积两张黄牌，将自动停止下一场比赛。足球项目纪律委员会根据相关条例和犯规行为性质，有权对运动员进行追加处罚；</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2.小组赛阶段的红黄牌均带入淘汰赛阶段比赛，黄牌累积在整个赛事中均有效;</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3.为约束运动员场上动作，避免人身伤害，赛事组委会对比赛中的黄牌、红牌进行“扣除纪律保证金”的处罚。每张黄牌扣50元，每张红牌扣100元，单场比赛中“两黄变一红”扣100元。</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（五）比赛弃权及中断</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1.每场比赛各参赛队在比赛时间开始15分钟后，仍未能达到最少人数标准进行比赛的（除不可抗力因素），按照比赛弃权处理，比赛按照0:3判负；</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2.每场比赛中因球队官员及运动员造成的比赛中断计时15分钟后，仍未能正常恢复比赛的，比赛按照0:3判负（如当时比分超过0:3则以当时比分为准）。</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3.如参赛运动队被认定有弃赛、罢赛、退出比赛和严重违背公平竞赛原则的行为，足球项目竞委会和纪律委员会将有权根据实际情况采取下列各项措施:</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(1)取消该运动队的参赛资格;</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(2)取消该队的比赛成绩;</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(3)其他追加处罚。</w:t>
      </w:r>
    </w:p>
    <w:p>
      <w:pPr>
        <w:keepNext w:val="0"/>
        <w:keepLines w:val="0"/>
        <w:pageBreakBefore w:val="0"/>
        <w:numPr>
          <w:ilvl w:val="0"/>
          <w:numId w:val="0"/>
        </w:numPr>
        <w:kinsoku/>
        <w:wordWrap/>
        <w:overflowPunct/>
        <w:topLinePunct w:val="0"/>
        <w:autoSpaceDE w:val="0"/>
        <w:autoSpaceDN w:val="0"/>
        <w:bidi w:val="0"/>
        <w:spacing w:line="520" w:lineRule="exact"/>
        <w:ind w:firstLine="800" w:firstLineChars="25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十、</w:t>
      </w:r>
      <w:r>
        <w:rPr>
          <w:rFonts w:hint="eastAsia" w:ascii="黑体" w:hAnsi="黑体" w:eastAsia="黑体" w:cs="黑体"/>
          <w:b w:val="0"/>
          <w:bCs w:val="0"/>
          <w:sz w:val="32"/>
          <w:szCs w:val="32"/>
          <w:lang w:eastAsia="zh-CN"/>
        </w:rPr>
        <w:t>器材和经费</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（一）比赛器材、比赛用球：均需符合最新《足球规则》的规定和年龄要求。</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（二）比赛服装</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1.各参赛队必须准备颜色不同的两套比赛服装和护袜；</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2.比赛服必须印有号码和运动员姓名，其中：上衣背后的号码高25-35厘米，胸前小号码高10-15厘米，短裤左腿前面的号码高10-15厘米；运动员姓名中文须在比赛服后背上印刷，高度为7.5厘米；</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3.服装不符合规定或无号、重号的运动员均不得上场比赛；</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4.比赛运动员的姓名、号码必须与报名单一致，并在预赛和决赛各阶段比赛中不得更改号码，不得无号，否则不得上场比赛；</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5.守门员可以穿长裤，每名守门员的服装颜色必须有别于其他队员和裁判员。</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6.比赛运动员上衣内衣应是单色，且与衣袖主色一致，或包含与衣袖完全一致的图案和颜色；内衬裤/紧身裤应与短裤主色或短裤底部颜色一致；同队场上队员应颜色统一；</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7.场上队长必须自备6厘米宽且与上衣颜色有明显区别的袖标；</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8.比赛服装胸前号码上方需印有参赛代表单位中文简写名称,名称高度为10-15厘米；</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9.运动员必须佩带护腿板,不得穿金属钉足球 。</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10.违背上述服装规定的参赛运动员，不得上场比赛。</w:t>
      </w:r>
    </w:p>
    <w:p>
      <w:pPr>
        <w:keepNext w:val="0"/>
        <w:keepLines w:val="0"/>
        <w:pageBreakBefore w:val="0"/>
        <w:kinsoku/>
        <w:wordWrap/>
        <w:overflowPunct/>
        <w:topLinePunct w:val="0"/>
        <w:autoSpaceDE w:val="0"/>
        <w:autoSpaceDN w:val="0"/>
        <w:bidi w:val="0"/>
        <w:spacing w:line="520" w:lineRule="exact"/>
        <w:ind w:firstLine="480" w:firstLineChars="15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（三）参赛经费自理。</w:t>
      </w:r>
    </w:p>
    <w:p>
      <w:pPr>
        <w:keepNext w:val="0"/>
        <w:keepLines w:val="0"/>
        <w:pageBreakBefore w:val="0"/>
        <w:numPr>
          <w:ilvl w:val="0"/>
          <w:numId w:val="0"/>
        </w:numPr>
        <w:kinsoku/>
        <w:wordWrap/>
        <w:overflowPunct/>
        <w:topLinePunct w:val="0"/>
        <w:autoSpaceDE w:val="0"/>
        <w:autoSpaceDN w:val="0"/>
        <w:bidi w:val="0"/>
        <w:spacing w:line="52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十一、</w:t>
      </w:r>
      <w:r>
        <w:rPr>
          <w:rFonts w:hint="eastAsia" w:ascii="黑体" w:hAnsi="黑体" w:eastAsia="黑体" w:cs="黑体"/>
          <w:b w:val="0"/>
          <w:bCs w:val="0"/>
          <w:sz w:val="32"/>
          <w:szCs w:val="32"/>
          <w:lang w:eastAsia="zh-CN"/>
        </w:rPr>
        <w:t>录取名次和奖励办法</w:t>
      </w:r>
    </w:p>
    <w:p>
      <w:pPr>
        <w:snapToGrid w:val="0"/>
        <w:spacing w:line="540" w:lineRule="exact"/>
        <w:ind w:firstLine="640" w:firstLineChars="200"/>
        <w:jc w:val="both"/>
        <w:rPr>
          <w:rFonts w:hint="eastAsia" w:ascii="仿宋_GB2312" w:hAnsi="仿宋_GB2312" w:eastAsia="仿宋_GB2312" w:cs="仿宋_GB2312"/>
          <w:b w:val="0"/>
          <w:bCs w:val="0"/>
          <w:sz w:val="32"/>
          <w:szCs w:val="32"/>
          <w:lang w:eastAsia="zh-CN"/>
        </w:rPr>
      </w:pPr>
      <w:r>
        <w:rPr>
          <w:rFonts w:hint="eastAsia" w:ascii="仿宋" w:hAnsi="仿宋" w:eastAsia="仿宋" w:cs="仿宋"/>
          <w:b w:val="0"/>
          <w:bCs/>
          <w:snapToGrid w:val="0"/>
          <w:spacing w:val="0"/>
          <w:kern w:val="0"/>
          <w:sz w:val="32"/>
          <w:szCs w:val="32"/>
          <w:shd w:val="clear" w:color="auto" w:fill="FFFFFF"/>
          <w:lang w:val="en-US" w:eastAsia="zh-CN"/>
        </w:rPr>
        <w:t>录取奖励前八名</w:t>
      </w:r>
      <w:r>
        <w:rPr>
          <w:rFonts w:hint="eastAsia" w:ascii="仿宋" w:hAnsi="仿宋" w:eastAsia="仿宋" w:cs="仿宋"/>
          <w:b w:val="0"/>
          <w:bCs/>
          <w:snapToGrid w:val="0"/>
          <w:spacing w:val="0"/>
          <w:kern w:val="0"/>
          <w:sz w:val="32"/>
          <w:szCs w:val="32"/>
          <w:shd w:val="clear" w:color="auto" w:fill="FFFFFF"/>
          <w:lang w:val="en-US" w:eastAsia="zh-Hans"/>
        </w:rPr>
        <w:t>，</w:t>
      </w:r>
      <w:r>
        <w:rPr>
          <w:rFonts w:hint="eastAsia" w:ascii="仿宋" w:hAnsi="仿宋" w:eastAsia="仿宋" w:cs="仿宋"/>
          <w:b w:val="0"/>
          <w:bCs/>
          <w:snapToGrid w:val="0"/>
          <w:spacing w:val="0"/>
          <w:kern w:val="0"/>
          <w:sz w:val="32"/>
          <w:szCs w:val="32"/>
          <w:shd w:val="clear" w:color="auto" w:fill="FFFFFF"/>
          <w:lang w:val="en-US" w:eastAsia="zh-CN"/>
        </w:rPr>
        <w:t>获奖运动员或团体获得相应奖牌或奖杯。</w:t>
      </w:r>
    </w:p>
    <w:p>
      <w:pPr>
        <w:keepNext w:val="0"/>
        <w:keepLines w:val="0"/>
        <w:pageBreakBefore w:val="0"/>
        <w:numPr>
          <w:ilvl w:val="0"/>
          <w:numId w:val="0"/>
        </w:numPr>
        <w:kinsoku/>
        <w:wordWrap/>
        <w:overflowPunct/>
        <w:topLinePunct w:val="0"/>
        <w:autoSpaceDE w:val="0"/>
        <w:autoSpaceDN w:val="0"/>
        <w:bidi w:val="0"/>
        <w:spacing w:line="52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Hans"/>
        </w:rPr>
        <w:t>十二、</w:t>
      </w:r>
      <w:r>
        <w:rPr>
          <w:rFonts w:hint="eastAsia" w:ascii="黑体" w:hAnsi="黑体" w:eastAsia="黑体" w:cs="黑体"/>
          <w:b w:val="0"/>
          <w:bCs w:val="0"/>
          <w:sz w:val="32"/>
          <w:szCs w:val="32"/>
          <w:lang w:eastAsia="zh-CN"/>
        </w:rPr>
        <w:t>赛风赛纪</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凡违反赛风赛纪，采取不正当手段获取名次者，经查情况属实，将根据情节轻重给予警告、停赛、通报批评、取消参赛资格、取消比赛成绩、扣除奖牌、总分等处罚。对情节特别严重影响恶劣者将另加处罚。</w:t>
      </w:r>
    </w:p>
    <w:p>
      <w:pPr>
        <w:keepNext w:val="0"/>
        <w:keepLines w:val="0"/>
        <w:pageBreakBefore w:val="0"/>
        <w:kinsoku/>
        <w:wordWrap/>
        <w:overflowPunct/>
        <w:topLinePunct w:val="0"/>
        <w:autoSpaceDE w:val="0"/>
        <w:autoSpaceDN w:val="0"/>
        <w:bidi w:val="0"/>
        <w:spacing w:line="52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十三、各参赛单位须遵守国家和天津市最新疫情防控政策和要求。</w:t>
      </w:r>
    </w:p>
    <w:p>
      <w:pPr>
        <w:keepNext w:val="0"/>
        <w:keepLines w:val="0"/>
        <w:pageBreakBefore w:val="0"/>
        <w:numPr>
          <w:ilvl w:val="0"/>
          <w:numId w:val="0"/>
        </w:numPr>
        <w:kinsoku/>
        <w:wordWrap/>
        <w:overflowPunct/>
        <w:topLinePunct w:val="0"/>
        <w:autoSpaceDE w:val="0"/>
        <w:autoSpaceDN w:val="0"/>
        <w:bidi w:val="0"/>
        <w:spacing w:line="520" w:lineRule="exact"/>
        <w:ind w:firstLine="640" w:firstLineChars="200"/>
        <w:jc w:val="both"/>
        <w:textAlignment w:val="auto"/>
        <w:rPr>
          <w:rFonts w:ascii="仿宋" w:hAnsi="仿宋" w:eastAsia="仿宋" w:cs="仿宋"/>
          <w:sz w:val="30"/>
          <w:szCs w:val="30"/>
          <w:lang w:eastAsia="zh-CN"/>
        </w:rPr>
      </w:pPr>
      <w:r>
        <w:rPr>
          <w:rFonts w:hint="eastAsia" w:ascii="黑体" w:hAnsi="黑体" w:eastAsia="黑体" w:cs="黑体"/>
          <w:b w:val="0"/>
          <w:bCs w:val="0"/>
          <w:sz w:val="32"/>
          <w:szCs w:val="32"/>
          <w:lang w:eastAsia="zh-CN"/>
        </w:rPr>
        <w:t>十四、未尽事宜，另行通知。</w:t>
      </w:r>
    </w:p>
    <w:p>
      <w:pPr>
        <w:keepNext w:val="0"/>
        <w:keepLines w:val="0"/>
        <w:pageBreakBefore w:val="0"/>
        <w:kinsoku/>
        <w:wordWrap/>
        <w:overflowPunct/>
        <w:topLinePunct w:val="0"/>
        <w:autoSpaceDE w:val="0"/>
        <w:autoSpaceDN w:val="0"/>
        <w:bidi w:val="0"/>
        <w:spacing w:line="520" w:lineRule="exact"/>
        <w:jc w:val="center"/>
        <w:textAlignment w:val="auto"/>
        <w:rPr>
          <w:rFonts w:ascii="仿宋" w:hAnsi="仿宋" w:eastAsia="仿宋" w:cs="仿宋"/>
          <w:sz w:val="30"/>
          <w:szCs w:val="30"/>
          <w:lang w:eastAsia="zh-CN"/>
        </w:rPr>
      </w:pPr>
      <w:r>
        <w:rPr>
          <w:rFonts w:hint="eastAsia" w:ascii="仿宋" w:hAnsi="仿宋" w:eastAsia="仿宋" w:cs="仿宋"/>
          <w:sz w:val="30"/>
          <w:szCs w:val="30"/>
          <w:lang w:eastAsia="zh-CN"/>
        </w:rPr>
        <w:t xml:space="preserve">                                      </w:t>
      </w:r>
    </w:p>
    <w:sectPr>
      <w:pgSz w:w="11880" w:h="16800"/>
      <w:pgMar w:top="1440" w:right="1633" w:bottom="1440" w:left="1633"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宋体-PUA">
    <w:altName w:val="宋体"/>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wM2JiMWQ2Y2U5ZjNiODgwMDFmNjU3OWNmMTI4M2UifQ=="/>
  </w:docVars>
  <w:rsids>
    <w:rsidRoot w:val="00000000"/>
    <w:rsid w:val="0B7241AA"/>
    <w:rsid w:val="0C4F6BC8"/>
    <w:rsid w:val="0D465375"/>
    <w:rsid w:val="14F74BCE"/>
    <w:rsid w:val="1AE65A03"/>
    <w:rsid w:val="32231A2F"/>
    <w:rsid w:val="3DFD52CD"/>
    <w:rsid w:val="3EAD7F28"/>
    <w:rsid w:val="3FAA4467"/>
    <w:rsid w:val="42FD6723"/>
    <w:rsid w:val="456D319A"/>
    <w:rsid w:val="45F17D59"/>
    <w:rsid w:val="47D54B85"/>
    <w:rsid w:val="4A655B5A"/>
    <w:rsid w:val="52C673B2"/>
    <w:rsid w:val="53177C0E"/>
    <w:rsid w:val="588B2AF4"/>
    <w:rsid w:val="5A2D545E"/>
    <w:rsid w:val="622F287E"/>
    <w:rsid w:val="64B00468"/>
    <w:rsid w:val="6712276E"/>
    <w:rsid w:val="6894168D"/>
    <w:rsid w:val="692C0E45"/>
    <w:rsid w:val="7B9C934C"/>
    <w:rsid w:val="7C303892"/>
    <w:rsid w:val="7E221091"/>
    <w:rsid w:val="7FD36A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1"/>
    <w:basedOn w:val="1"/>
    <w:next w:val="1"/>
    <w:qFormat/>
    <w:uiPriority w:val="1"/>
    <w:pPr>
      <w:spacing w:before="159"/>
      <w:ind w:left="1160"/>
      <w:outlineLvl w:val="0"/>
    </w:pPr>
    <w:rPr>
      <w:sz w:val="31"/>
      <w:szCs w:val="31"/>
    </w:rPr>
  </w:style>
  <w:style w:type="paragraph" w:styleId="4">
    <w:name w:val="heading 2"/>
    <w:basedOn w:val="1"/>
    <w:next w:val="1"/>
    <w:qFormat/>
    <w:uiPriority w:val="1"/>
    <w:pPr>
      <w:ind w:left="508"/>
      <w:outlineLvl w:val="1"/>
    </w:pPr>
    <w:rPr>
      <w:sz w:val="30"/>
      <w:szCs w:val="30"/>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sz w:val="29"/>
      <w:szCs w:val="29"/>
    </w:rPr>
  </w:style>
  <w:style w:type="paragraph" w:styleId="5">
    <w:name w:val="Balloon Text"/>
    <w:basedOn w:val="1"/>
    <w:link w:val="16"/>
    <w:unhideWhenUsed/>
    <w:qFormat/>
    <w:uiPriority w:val="0"/>
    <w:rPr>
      <w:sz w:val="18"/>
      <w:szCs w:val="18"/>
    </w:rPr>
  </w:style>
  <w:style w:type="paragraph" w:styleId="6">
    <w:name w:val="footer"/>
    <w:basedOn w:val="1"/>
    <w:link w:val="18"/>
    <w:unhideWhenUsed/>
    <w:qFormat/>
    <w:uiPriority w:val="0"/>
    <w:pPr>
      <w:tabs>
        <w:tab w:val="center" w:pos="4153"/>
        <w:tab w:val="right" w:pos="8306"/>
      </w:tabs>
      <w:snapToGrid w:val="0"/>
    </w:pPr>
    <w:rPr>
      <w:sz w:val="18"/>
      <w:szCs w:val="18"/>
    </w:rPr>
  </w:style>
  <w:style w:type="paragraph" w:styleId="7">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pPr>
    <w:rPr>
      <w:rFonts w:cs="Times New Roman"/>
      <w:sz w:val="24"/>
      <w:lang w:eastAsia="zh-CN"/>
    </w:rPr>
  </w:style>
  <w:style w:type="character" w:styleId="11">
    <w:name w:val="Strong"/>
    <w:basedOn w:val="10"/>
    <w:qFormat/>
    <w:uiPriority w:val="0"/>
    <w:rPr>
      <w:b/>
    </w:rPr>
  </w:style>
  <w:style w:type="character" w:styleId="12">
    <w:name w:val="Emphasis"/>
    <w:basedOn w:val="10"/>
    <w:qFormat/>
    <w:uiPriority w:val="0"/>
    <w:rPr>
      <w:i/>
    </w:r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List Paragraph"/>
    <w:basedOn w:val="1"/>
    <w:qFormat/>
    <w:uiPriority w:val="1"/>
    <w:pPr>
      <w:ind w:left="1480" w:firstLine="637"/>
    </w:pPr>
  </w:style>
  <w:style w:type="paragraph" w:customStyle="1" w:styleId="15">
    <w:name w:val="Table Paragraph"/>
    <w:basedOn w:val="1"/>
    <w:qFormat/>
    <w:uiPriority w:val="1"/>
    <w:pPr>
      <w:spacing w:before="70"/>
    </w:pPr>
    <w:rPr>
      <w:rFonts w:ascii="Times New Roman" w:hAnsi="Times New Roman" w:eastAsia="Times New Roman" w:cs="Times New Roman"/>
    </w:rPr>
  </w:style>
  <w:style w:type="character" w:customStyle="1" w:styleId="16">
    <w:name w:val="批注框文本 Char"/>
    <w:basedOn w:val="10"/>
    <w:link w:val="5"/>
    <w:semiHidden/>
    <w:qFormat/>
    <w:uiPriority w:val="0"/>
    <w:rPr>
      <w:rFonts w:ascii="宋体" w:hAnsi="宋体" w:cs="宋体"/>
      <w:sz w:val="18"/>
      <w:szCs w:val="18"/>
      <w:lang w:eastAsia="en-US"/>
    </w:rPr>
  </w:style>
  <w:style w:type="character" w:customStyle="1" w:styleId="17">
    <w:name w:val="页眉 Char"/>
    <w:basedOn w:val="10"/>
    <w:link w:val="7"/>
    <w:qFormat/>
    <w:uiPriority w:val="0"/>
    <w:rPr>
      <w:rFonts w:ascii="宋体" w:hAnsi="宋体" w:cs="宋体"/>
      <w:sz w:val="18"/>
      <w:szCs w:val="18"/>
      <w:lang w:eastAsia="en-US"/>
    </w:rPr>
  </w:style>
  <w:style w:type="character" w:customStyle="1" w:styleId="18">
    <w:name w:val="页脚 Char"/>
    <w:basedOn w:val="10"/>
    <w:link w:val="6"/>
    <w:qFormat/>
    <w:uiPriority w:val="0"/>
    <w:rPr>
      <w:rFonts w:ascii="宋体" w:hAnsi="宋体" w:cs="宋体"/>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2986</Words>
  <Characters>3123</Characters>
  <Lines>23</Lines>
  <Paragraphs>6</Paragraphs>
  <TotalTime>0</TotalTime>
  <ScaleCrop>false</ScaleCrop>
  <LinksUpToDate>false</LinksUpToDate>
  <CharactersWithSpaces>3188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2022-09-03T17:50:00Z</dcterms:created>
  <dc:creator>bingdian001.com</dc:creator>
  <cp:keywords>bingdian001.com</cp:keywords>
  <cp:lastModifiedBy>zhang</cp:lastModifiedBy>
  <cp:lastPrinted>2022-09-03T17:54:00Z</cp:lastPrinted>
  <dcterms:modified xsi:type="dcterms:W3CDTF">2022-09-19T07:38:21Z</dcterms:modified>
  <dc:subject>bingdian001.com</dc:subject>
  <dc:title>bingdian001.com</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2022-03-10T00:00:00Z</vt:filetime>
  </property>
  <property fmtid="{D5CDD505-2E9C-101B-9397-08002B2CF9AE}" pid="3" name="Creator">
    <vt:lpwstr>bingdian001.com</vt:lpwstr>
  </property>
  <property fmtid="{D5CDD505-2E9C-101B-9397-08002B2CF9AE}" pid="4" name="LastSaved">
    <vt:filetime>2022-03-10T00:00:00Z</vt:filetime>
  </property>
  <property fmtid="{D5CDD505-2E9C-101B-9397-08002B2CF9AE}" pid="5" name="KSOProductBuildVer">
    <vt:lpwstr>2052-11.1.0.12358</vt:lpwstr>
  </property>
  <property fmtid="{D5CDD505-2E9C-101B-9397-08002B2CF9AE}" pid="6" name="ICV">
    <vt:lpwstr>D1541D70B26A4E73ABD99D7DDC829CD8</vt:lpwstr>
  </property>
</Properties>
</file>